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2007/303 vom 29. August 2008</w:t>
      </w:r>
    </w:p>
    <w:p>
      <w:r>
        <w:t>Sg Versicherungsgericht, 2008-08-29, DE</w:t>
      </w:r>
    </w:p>
    <w:p>
      <w:r>
        <w:rPr>
          <w:b/>
        </w:rPr>
        <w:t xml:space="preserve">Quelle: </w:t>
      </w:r>
      <w:r>
        <w:t>https://mcp.opencaselaw.ch/entscheid/sg_publikationen_IV 2007_303</w:t>
      </w:r>
    </w:p>
    <w:p>
      <w:r>
        <w:t>FR: SG_VERSICHERUNGSGERICHT IV 2007/303 du 29 août 2008</w:t>
      </w:r>
    </w:p>
    <w:p>
      <w:r>
        <w:t>IT: SG_VERSICHERUNGSGERICHT IV 2007/303 del 29 agosto 2008</w:t>
      </w:r>
    </w:p>
    <w:p>
      <w:pPr>
        <w:pStyle w:val="Heading2"/>
      </w:pPr>
      <w:r>
        <w:t>Regeste</w:t>
      </w:r>
    </w:p>
    <w:p>
      <w:r>
        <w:t>Art. 28 aIVG; Anspruch auf Rente sowie andere IV-Leistungen verneint; Beweiswert Gutachten; bisherige selbstständige Tätigkeit weiterhin vollumfänglich zumutbar (Entscheid des Versicherungsgericht des Kantons St. Gallen vom 29. August 2008, IV 2007/303).</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2.2  Die Rentenabstufungen des Art. 28 Abs. 1 aIVG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2.3  Für die Bemessung der Invalidität bei einer erwerbstätigen versicherten Person wird gemäss Art. 16 ATSG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(BGE 128 V 30 f. E. 1). 2.4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2.5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2.6  Was Berichte von Hausärzten angeht, darf und soll die Erfahrungstatsache mitberücksichtigt werden, dass Hausärzte mitunter aufgrund ihrer auftragsrechtlichen Vertrauensstellung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i.S. M., I 514/06, E. 2.2.1 mit Hinweisen).</w:t>
      </w:r>
    </w:p>
    <w:p>
      <w:r>
        <w:rPr>
          <w:b/>
        </w:rPr>
        <w:t>E. 3</w:t>
      </w:r>
    </w:p>
    <w:p>
      <w:r>
        <w:t>3.1  Der Beschwerdeführer rügt, dass das Gutachten der Dres. H.___ und I.___ nicht nachvollziehbar und widersprüchlich sei. Die Gutachter kamen zum Schluss, dass für sämtliche Tätigkeiten mit "maximal gelegentlicher Hebebelastung von 20 kg" keine Einschränkung der Arbeitsfähigkeit bestehe. Sie konnten allerdings nicht beurteilen, inwiefern die angestammte selbstständige Tätigkeit die Voraussetzungen an eine leidensadaptierte Tätigkeit erfüllt. Sie empfahlen hierfür die Vornahme einer Abklärung vor Ort (act. G 4.1/26.11). Anlässlich der Abklärung vor Ort vom 2. Februar 2007 stellte die Abklärungsperson fest, dass Hebebelastungen von maximal 20 kg bei der Arbeit des Beschwerdeführers nur selten auftreten würden (act. G 4.1/46.10). 3.2  Vorab ist mit dem im Sozialversicherungsrecht massgebenden Beweisgrad der überwiegenden Wahrscheinlichkeit als erstellt zu erachten, dass die angestammte selbstständige Tätigkeit des Beschwerdeführers nicht "mit gelegentlichen Hebebelastungen von 20 kg" verbunden ist und somit der gutachterlich definierten zumutbaren Tätigkeit entspricht. Der Beschwerdeführer sieht denn auch selbst die von ihm geltend gemachten Einschränkungen im Bereich der Kundenaquisition, der Entwicklung neuer Strategien und dem Entgegnen der Herausforderungen des Marktes (act. G 4.1/46.5). Des Weiteren ist darauf hinzuweisen, dass seine Tätigkeit vor allem aus der Betriebsführung, administrativen Arbeiten, Bestellwesen, Ein- und Verkauf, Kundenberatung, Akquisition, Service- und Reparaturleistungen besteht. Zwar bilden auch Hauslieferungen (ein- bis zweimal pro Woche; act. G 4.1/26.6) einen – wenn auch geringen – Bestandteil seiner Tätigkeit (act. G 4.1/46.7). Wie die Beschwerdegegnerin aber zu Recht vorbringt, sind bei den heutigen Computer- und Zubehörgeräten Gewichte von über 20 kg sehr selten geworden (act. G 4, S. 4). 3.3  Im Hinblick auf die Würdigung der medizinischen Situation fällt ins Gewicht, dass das Gutachten auf eigenständigen interdisziplinären Abklärungen, mithin auf allseitigen Untersuchungen beruht und damit für die streitigen Belange umfassend ist. Es wurden die Vorakten verwertet und die vom Beschwerdeführer geklagten Beschwerden berücksichtigt. Das Gutachten leuchtet in der Darlegung der medizinischen Zusammenhänge und in der Beurteilung der medizinischen Situation ein. Vor diesem Hintergrund vermögen auch die darin enthaltenen Schlussfolgerungen, namentlich die Beurteilung der vollen Arbeitsfähigkeit in einer adaptierten Tätigkeit, zu überzeugen. Das Gutachten erfüllt mithin alle praxisgemässen Kriterien für beweiskräftige Gutachten (vgl. BGE 125 V 352 E. 3a), so dass grundsätzlich darauf abzustellen ist. 3.4  Der Beschwerdeführer vermag keine konkreten Mängel an der Gutachtenserstellung zu benennen. Ebenso ist die fachärztliche Qualifikation der Gutachter unbestritten gegeben. Seine Kritik am Gutachten beschränkt sich vor allem darauf, dass die Familienanamnese unvollständig (act. G 4.1/57) sei. Des Weiteren sei angesichts der Tatsache, dass Dr. med. H.___ eine erhebliche kongenital und degenerativ bedingte diskogene, ligamentäre und arthrogene Spinalkanalstenose L4/L5, eine Spondylarthrose L5/S1 sowie eine kleinvolumige links-medio-laterale nicht-neurokompressive Bandscheibenhernie L3/4 mit Kompromittierung der Wurzel 4 links festgestellt habe, die Attestierung einer vollständigen Arbeitsfähigkeit widersprüchlich (act. G 1). 3.4.1 Die Familienanamnese wurde von Dr. med. H.___ sorgfältig und eingehend erhoben (act. G 4.1/26.3). Ein Mangel ist entgegen der Auffassung des Beschwerdeführers nicht ersichtlich. Die gesamte Anamnese umfasst die persönlichen, gesundheitlichen, beruflichen und sozialen – insbesondere auch familiären – Aspekte sowie die Schilderung der gegenwärtigen Beschwerden. 3.4.2 Was die ärztliche Stellungnahme von Dr. G.___ vom 25. September 2006 (act. G 4.1/29.1) betrifft, wo dieser den Beschwerdeführer zu 50% arbeitsunfähig beurteilt, so ist in formaler Hinsicht bereits zu bemängeln, dass sie keine Diagnose enthält und die anderslautenden ärztlichen Stellungnahmen nicht würdigt oder zur Kenntnis nimmt. Es fehlt jegliche Auseinandersetzung mit dem Gutachten der Dres. H.___ und I.___. Zu berücksichtigen ist auch, dass Dr. G.___ als Allgemeinmediziner für die vorliegend zu beurteilenden Leiden die erforderliche fachärztliche orthopädisch-rheumatologische und psychiatrische Ausbildung fehlt. Die Stellungnahme von Dr. G.___ vermag daher keine Zweifel am Beweiswert des Gutachtens der Dres. H.___ und I.___ entstehen zu lassen. 3.4.3 Kein Widerspruch des Gutachtens ist darin zu erblicken, wenn die Gutachter gesundheitliche Beeinträchtigungen feststellen, diesen aber – nachvollziehbar begründet – keine Beeinträchtigung der Arbeitsfähigkeit zumessen (vgl. act. 4.1/26.10 f.). Denn eine diagnostizierte Gesundheitsschädigung für sich allein genommen lässt nicht den Schluss auf eine gesundheitlich bedingt eingeschränkte Arbeitsfähigkeit zu (vgl. BGE 132 V 65 E. 3.4 S. 69), noch darf von einer Behandlungsbedürftigkeit auf eine Arbeitsunfähigkeit geschlossen werden (Urteil des Bundesgerichts vom 24. April 2007 i.S. Pensionskasse B., I 687/06, E. 5.2). 3.4.4 Wesentlich ist aber vor allem, dass das Gutachten der Dres. H.___ und I.___ als schlüssig und beweistauglich zu bezeichnen ist (vgl. vorstehend, E. 3.3). Weitere Beweismassnahmen vermöchten an diesem Ergebnis nichts mehr zu ändern. Von weiteren zusätzlichen Abklärungsmassnahmen sind daher keine neuen wesentlichen Erkenntnisse zu erwarten, weshalb in antizipierter Beweiswürdigung auf entsprechende Abklärungen zu verzichten ist. 3.5  Ein weiterer Abklärungsbedarf besteht auch nicht hinsichtlich der erwerblichen Verhältnisse. Insbesondere vermag der Beschwerdeführer aus dem Umstand, dass sein Umsatz in den letzten Jahren zurückgegangen ist, nichts zu seinen Gunsten abzuleiten. Denn einerseits ist aufgrund des Gutachtens der Dres. H.___ und I.___ davon auszugehen, dass der Beschwerdeführer – der sich selbst als zu 50% arbeitsunfähig erachtet – seine zumutbare Leistungsfähigkeit in der bisherigen Tätigkeit nicht vollumfänglich ausschöpft. Anderseits wird der Geschäftserfolg von sehr vielen Faktoren bestimmt, wie die Beschwerdegegnerin in der Beschwerdeantwort zutreffend ausführte. Insgesamt kann der Nachweis, dass die geltend gemachten Einbussen gesundheitlich bedingt sind, nicht geführt werden.</w:t>
      </w:r>
    </w:p>
    <w:p>
      <w:r>
        <w:rPr>
          <w:b/>
        </w:rPr>
        <w:t>E. 4</w:t>
      </w:r>
    </w:p>
    <w:p>
      <w:r>
        <w:t>Die Beschwerdegegnerin hat berufliche Eingliederungsmassnahmen nicht geprüft. Dies ist nicht zu beanstanden, nachdem aufgrund der medizinischen Abklärungen und der Abklärung vor Ort in der angestammten Tätigkeit keine Arbeitsunfähigkeit ausgewiesen ist.</w:t>
      </w:r>
    </w:p>
    <w:p>
      <w:r>
        <w:rPr>
          <w:b/>
        </w:rPr>
        <w:t>E. 5</w:t>
      </w:r>
    </w:p>
    <w:p>
      <w:r>
        <w:t>Im Sinne der vorstehenden Erwägungen ist die Beschwerde vom 17. August 2007 unter Bestätigung der angefochtenen Verfügung vom 25. Juni 2007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wobei der von ihm geleistete Kostenvorschuss von Fr. 600.-- angerechnet werden kann. Entsprechend dem Ausgang des Verfahrens hat der Beschwerdeführer keinen Anspruch auf eine Parteientschädigung. Demgemäss hat das Versicherungsgericht im Zirkulationsverfahren gemäss Art. 53 GerG entschieden: 1.  Die Beschwerde wird abgewiesen. 2.  Der Beschwerdeführer bezahlt eine Gerichtsgebühr von Fr. 600.--. Der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